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sz w:val="30"/>
          <w:szCs w:val="30"/>
        </w:rPr>
      </w:pPr>
      <w:r w:rsidDel="00000000" w:rsidR="00000000" w:rsidRPr="00000000">
        <w:rPr>
          <w:b w:val="1"/>
          <w:sz w:val="30"/>
          <w:szCs w:val="30"/>
          <w:rtl w:val="0"/>
        </w:rPr>
        <w:t xml:space="preserve">TEI2022 – </w:t>
      </w:r>
      <w:r w:rsidDel="00000000" w:rsidR="00000000" w:rsidRPr="00000000">
        <w:rPr>
          <w:b w:val="1"/>
          <w:sz w:val="30"/>
          <w:szCs w:val="30"/>
          <w:rtl w:val="0"/>
        </w:rPr>
        <w:t xml:space="preserve">Evolving Hands: HTR and TEI Workflows for cultural institutions</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This Long Paper will look at the work of the Evolving Hands project which is undertaking three</w:t>
      </w:r>
      <w:r w:rsidDel="00000000" w:rsidR="00000000" w:rsidRPr="00000000">
        <w:rPr>
          <w:rtl w:val="0"/>
        </w:rPr>
        <w:t xml:space="preserve"> case studies ranging across document forms to demonstrate how TEI-based HTR workflows  can be iteratively incorporated into curation. These range from: 19th-20th century handwritten letters and diaries from the UNESCO Gertrude Bell Archive, 18th century German, 20th century French correspondence, and a range of printed materials from the 19th century onward in English and French. A joint case study converts legacy printed material of the Records of Early English Drama (REED) project. By covering a wide variety of periods and document forms the project has a real opportunity here to foster responsible and responsive support for cultural institutions.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Newcastle University Case Study -- The Gertude Bell Archive</w:t>
      </w:r>
    </w:p>
    <w:p w:rsidR="00000000" w:rsidDel="00000000" w:rsidP="00000000" w:rsidRDefault="00000000" w:rsidRPr="00000000" w14:paraId="00000006">
      <w:pPr>
        <w:rPr/>
      </w:pPr>
      <w:r w:rsidDel="00000000" w:rsidR="00000000" w:rsidRPr="00000000">
        <w:rPr>
          <w:rtl w:val="0"/>
        </w:rPr>
        <w:t xml:space="preserve">This case study uses Newcastle Special Collection's UNESCO Gertrude Bell Archive (</w:t>
      </w:r>
      <w:hyperlink r:id="rId6">
        <w:r w:rsidDel="00000000" w:rsidR="00000000" w:rsidRPr="00000000">
          <w:rPr>
            <w:color w:val="1155cc"/>
            <w:u w:val="single"/>
            <w:rtl w:val="0"/>
          </w:rPr>
          <w:t xml:space="preserve">http://gertrudebell.ncl.ac.uk/</w:t>
        </w:r>
      </w:hyperlink>
      <w:r w:rsidDel="00000000" w:rsidR="00000000" w:rsidRPr="00000000">
        <w:rPr>
          <w:rtl w:val="0"/>
        </w:rPr>
        <w:t xml:space="preserve">), which document the activities of the explorer, archaeologist, and political agent who was instrumental in establishing the Kingdom of Iraq in 1921. Bell is the subject of plays, documentaries, a feature film, and recently was nominated as a BBC 20th Century Icon. A separate centenary project is digitizing and cataloguing her archive of diaries, letters, and photographs. Piggybacking on that, we will select the richest materials to train HTR base models of Bell's hand and use up-converted transcriptions for the production of training materials.</w:t>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rPr>
          <w:b w:val="1"/>
        </w:rPr>
      </w:pPr>
      <w:r w:rsidDel="00000000" w:rsidR="00000000" w:rsidRPr="00000000">
        <w:rPr>
          <w:b w:val="1"/>
          <w:rtl w:val="0"/>
        </w:rPr>
        <w:t xml:space="preserve">Bucknell University Case Study -- Scholarly Production at Scale</w:t>
      </w:r>
    </w:p>
    <w:p w:rsidR="00000000" w:rsidDel="00000000" w:rsidP="00000000" w:rsidRDefault="00000000" w:rsidRPr="00000000" w14:paraId="00000009">
      <w:pPr>
        <w:rPr/>
      </w:pPr>
      <w:r w:rsidDel="00000000" w:rsidR="00000000" w:rsidRPr="00000000">
        <w:rPr>
          <w:rtl w:val="0"/>
        </w:rPr>
        <w:t xml:space="preserve">The Bucknell case study centres on processes used across multiple discrete projects by staff with a range of digital experience. These projects represent different models for testing the HTR to TEI conversion process. Their sources are drawn from Bucknell's Special Collections and research of faculty working with archives in the US, UK, Europe, and Asia. They include scribal hands, life papers, correspondence, and semi-legible typed government files from 1700-1990 and are in English, French, German, and Maithili. This case study will directly benefit multiple projects at the university, and is optimised for sharing with smaller cultural institutions around the world.</w:t>
      </w:r>
    </w:p>
    <w:p w:rsidR="00000000" w:rsidDel="00000000" w:rsidP="00000000" w:rsidRDefault="00000000" w:rsidRPr="00000000" w14:paraId="0000000A">
      <w:pPr>
        <w:rPr/>
      </w:pPr>
      <w:r w:rsidDel="00000000" w:rsidR="00000000" w:rsidRPr="00000000">
        <w:rPr>
          <w:rtl w:val="0"/>
        </w:rPr>
        <w:t xml:space="preserve"> </w:t>
      </w:r>
    </w:p>
    <w:p w:rsidR="00000000" w:rsidDel="00000000" w:rsidP="00000000" w:rsidRDefault="00000000" w:rsidRPr="00000000" w14:paraId="0000000B">
      <w:pPr>
        <w:rPr>
          <w:b w:val="1"/>
        </w:rPr>
      </w:pPr>
      <w:r w:rsidDel="00000000" w:rsidR="00000000" w:rsidRPr="00000000">
        <w:rPr>
          <w:b w:val="1"/>
          <w:rtl w:val="0"/>
        </w:rPr>
        <w:t xml:space="preserve">Joint Newcastle/Bucknell Case Study -- Transforming REED Print Collections</w:t>
      </w:r>
    </w:p>
    <w:p w:rsidR="00000000" w:rsidDel="00000000" w:rsidP="00000000" w:rsidRDefault="00000000" w:rsidRPr="00000000" w14:paraId="0000000C">
      <w:pPr>
        <w:rPr/>
      </w:pPr>
      <w:r w:rsidDel="00000000" w:rsidR="00000000" w:rsidRPr="00000000">
        <w:rPr>
          <w:rtl w:val="0"/>
        </w:rPr>
        <w:t xml:space="preserve">Cummings (AHRC PI) and Jakacki (NEH PI) will collaborate on a case study converting collections produced by the Records of Early English Drama (</w:t>
      </w:r>
      <w:hyperlink r:id="rId7">
        <w:r w:rsidDel="00000000" w:rsidR="00000000" w:rsidRPr="00000000">
          <w:rPr>
            <w:color w:val="1155cc"/>
            <w:u w:val="single"/>
            <w:rtl w:val="0"/>
          </w:rPr>
          <w:t xml:space="preserve">http://reed.utoronto.ca</w:t>
        </w:r>
      </w:hyperlink>
      <w:r w:rsidDel="00000000" w:rsidR="00000000" w:rsidRPr="00000000">
        <w:rPr>
          <w:rtl w:val="0"/>
        </w:rPr>
        <w:t xml:space="preserve">) project that has published since 1979 edited documentary records of pre-1642 performance in premodern England, Scotland and Wales. However, the semantic information provided in the print collections, through the use of special symbols and formatting, is lost in OCR. Previous tests using HTR by Jakacki and Cummings have demonstrated that these distinctions can be transformed with HTR to TEI. The project will document shared workflows for consistent upconversion into viable materials ready to enter the REED project's digital publication workflow. This has the potential to be of use for all the other REED legacy print volumes (well over 20,000 pages of rich scholarly material).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Short Bios (max 500 characters): </w:t>
      </w:r>
    </w:p>
    <w:p w:rsidR="00000000" w:rsidDel="00000000" w:rsidP="00000000" w:rsidRDefault="00000000" w:rsidRPr="00000000" w14:paraId="00000011">
      <w:pPr>
        <w:numPr>
          <w:ilvl w:val="0"/>
          <w:numId w:val="1"/>
        </w:numPr>
        <w:ind w:left="720" w:hanging="360"/>
      </w:pPr>
      <w:r w:rsidDel="00000000" w:rsidR="00000000" w:rsidRPr="00000000">
        <w:rPr>
          <w:rtl w:val="0"/>
        </w:rPr>
        <w:t xml:space="preserve">James Cummings: </w:t>
      </w:r>
    </w:p>
    <w:p w:rsidR="00000000" w:rsidDel="00000000" w:rsidP="00000000" w:rsidRDefault="00000000" w:rsidRPr="00000000" w14:paraId="00000012">
      <w:pPr>
        <w:numPr>
          <w:ilvl w:val="1"/>
          <w:numId w:val="1"/>
        </w:numPr>
        <w:ind w:left="1440" w:hanging="360"/>
      </w:pPr>
      <w:r w:rsidDel="00000000" w:rsidR="00000000" w:rsidRPr="00000000">
        <w:rPr>
          <w:rtl w:val="0"/>
        </w:rPr>
        <w:t xml:space="preserve">James Cummings is the Senior Lecturer in Late Medieval Literature and Digital Humanities for the School of English Literature, Language, and Linguistics at Newcastle University. He is the Newcastle PI for the Evolving Hands Project, the TEI Board of Directors, and for some reason volunteered to be lead local organiser for the TEI2022 conference.</w:t>
      </w:r>
    </w:p>
    <w:p w:rsidR="00000000" w:rsidDel="00000000" w:rsidP="00000000" w:rsidRDefault="00000000" w:rsidRPr="00000000" w14:paraId="00000013">
      <w:pPr>
        <w:numPr>
          <w:ilvl w:val="0"/>
          <w:numId w:val="1"/>
        </w:numPr>
        <w:ind w:left="720" w:hanging="360"/>
      </w:pPr>
      <w:r w:rsidDel="00000000" w:rsidR="00000000" w:rsidRPr="00000000">
        <w:rPr>
          <w:rtl w:val="0"/>
        </w:rPr>
        <w:t xml:space="preserve">Diane Jakacki: </w:t>
      </w:r>
    </w:p>
    <w:p w:rsidR="00000000" w:rsidDel="00000000" w:rsidP="00000000" w:rsidRDefault="00000000" w:rsidRPr="00000000" w14:paraId="00000014">
      <w:pPr>
        <w:numPr>
          <w:ilvl w:val="1"/>
          <w:numId w:val="1"/>
        </w:numPr>
        <w:ind w:left="1440" w:hanging="360"/>
      </w:pPr>
      <w:r w:rsidDel="00000000" w:rsidR="00000000" w:rsidRPr="00000000">
        <w:rPr>
          <w:rtl w:val="0"/>
        </w:rPr>
        <w:t xml:space="preserve">Diane Jakacki is Digital Scholarship Coordinator and Associated Faculty in Comparative &amp; Digital Humanities at Bucknell University. She is PI of the Mellon-funded LAB Cooperative project, co-PI (with James Cummings) of the Evolving Hands project, and member of the LEAF executive team. She is chair of the TEI Board of Directors and Chair-Elect of the Alliance for Digital Humanities Organizations.</w:t>
      </w:r>
    </w:p>
    <w:p w:rsidR="00000000" w:rsidDel="00000000" w:rsidP="00000000" w:rsidRDefault="00000000" w:rsidRPr="00000000" w14:paraId="00000015">
      <w:pPr>
        <w:numPr>
          <w:ilvl w:val="0"/>
          <w:numId w:val="1"/>
        </w:numPr>
        <w:ind w:left="720" w:hanging="360"/>
      </w:pPr>
      <w:r w:rsidDel="00000000" w:rsidR="00000000" w:rsidRPr="00000000">
        <w:rPr>
          <w:rtl w:val="0"/>
        </w:rPr>
        <w:t xml:space="preserve">Ian Johnson: </w:t>
      </w:r>
    </w:p>
    <w:p w:rsidR="00000000" w:rsidDel="00000000" w:rsidP="00000000" w:rsidRDefault="00000000" w:rsidRPr="00000000" w14:paraId="00000016">
      <w:pPr>
        <w:numPr>
          <w:ilvl w:val="1"/>
          <w:numId w:val="1"/>
        </w:numPr>
        <w:ind w:left="1440" w:hanging="360"/>
      </w:pPr>
      <w:r w:rsidDel="00000000" w:rsidR="00000000" w:rsidRPr="00000000">
        <w:rPr>
          <w:rtl w:val="0"/>
        </w:rPr>
        <w:t xml:space="preserve">Ian Johnson is Head of Special Collections &amp; Archives at Newcastle University Library with overall responsibility for the curation of our unique and distinctive collections for collaborative research, teaching and engagement. This includes interdisciplinary digital scholarship and co-curation of our UNESCO Gertrude Bell Archive. He is co-I for the Evolving Hands project.</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Carrie Pirmann: </w:t>
      </w:r>
    </w:p>
    <w:p w:rsidR="00000000" w:rsidDel="00000000" w:rsidP="00000000" w:rsidRDefault="00000000" w:rsidRPr="00000000" w14:paraId="00000018">
      <w:pPr>
        <w:numPr>
          <w:ilvl w:val="1"/>
          <w:numId w:val="1"/>
        </w:numPr>
        <w:ind w:left="1440" w:hanging="360"/>
      </w:pPr>
      <w:r w:rsidDel="00000000" w:rsidR="00000000" w:rsidRPr="00000000">
        <w:rPr>
          <w:rtl w:val="0"/>
        </w:rPr>
        <w:t xml:space="preserve">Carrie Pirmann is the social sciences librarian at Bucknell University who is optimising existing Transkribus models for the Bucknell Case Study and working with the digital libraries community.</w:t>
      </w:r>
    </w:p>
    <w:p w:rsidR="00000000" w:rsidDel="00000000" w:rsidP="00000000" w:rsidRDefault="00000000" w:rsidRPr="00000000" w14:paraId="00000019">
      <w:pPr>
        <w:numPr>
          <w:ilvl w:val="0"/>
          <w:numId w:val="1"/>
        </w:numPr>
        <w:ind w:left="720" w:hanging="360"/>
      </w:pPr>
      <w:r w:rsidDel="00000000" w:rsidR="00000000" w:rsidRPr="00000000">
        <w:rPr>
          <w:rtl w:val="0"/>
        </w:rPr>
        <w:t xml:space="preserve">Alexandra Healey: </w:t>
      </w:r>
    </w:p>
    <w:p w:rsidR="00000000" w:rsidDel="00000000" w:rsidP="00000000" w:rsidRDefault="00000000" w:rsidRPr="00000000" w14:paraId="0000001A">
      <w:pPr>
        <w:numPr>
          <w:ilvl w:val="1"/>
          <w:numId w:val="1"/>
        </w:numPr>
        <w:ind w:left="1440" w:hanging="360"/>
      </w:pPr>
      <w:r w:rsidDel="00000000" w:rsidR="00000000" w:rsidRPr="00000000">
        <w:rPr>
          <w:rtl w:val="0"/>
        </w:rPr>
        <w:t xml:space="preserve">Alexandra Healey is a Project Archivist in Newcastle University Special Collections &amp; Archives. She is coordinating the use of HTR and TEI within the Newcastle team as part of the Evolving Hands project. She also designs and delivers teaching around the use of archives in digital scholarship and is Chair of the Archives for Learning and Education Section of the Archives and Records Association.</w:t>
      </w:r>
    </w:p>
    <w:p w:rsidR="00000000" w:rsidDel="00000000" w:rsidP="00000000" w:rsidRDefault="00000000" w:rsidRPr="00000000" w14:paraId="0000001B">
      <w:pPr>
        <w:numPr>
          <w:ilvl w:val="0"/>
          <w:numId w:val="1"/>
        </w:numPr>
        <w:ind w:left="720" w:hanging="360"/>
      </w:pPr>
      <w:r w:rsidDel="00000000" w:rsidR="00000000" w:rsidRPr="00000000">
        <w:rPr>
          <w:rtl w:val="0"/>
        </w:rPr>
        <w:t xml:space="preserve">Valentina Flex: </w:t>
      </w:r>
    </w:p>
    <w:p w:rsidR="00000000" w:rsidDel="00000000" w:rsidP="00000000" w:rsidRDefault="00000000" w:rsidRPr="00000000" w14:paraId="0000001C">
      <w:pPr>
        <w:numPr>
          <w:ilvl w:val="1"/>
          <w:numId w:val="1"/>
        </w:numPr>
        <w:ind w:left="1440" w:hanging="360"/>
      </w:pPr>
      <w:r w:rsidDel="00000000" w:rsidR="00000000" w:rsidRPr="00000000">
        <w:rPr>
          <w:rtl w:val="0"/>
        </w:rPr>
        <w:t xml:space="preserve">Valentina is the Stillman Project Archivist working on Gertrude Bell Archive: Bell and the Kingdom of Iraq at 100. </w:t>
      </w:r>
    </w:p>
    <w:p w:rsidR="00000000" w:rsidDel="00000000" w:rsidP="00000000" w:rsidRDefault="00000000" w:rsidRPr="00000000" w14:paraId="0000001D">
      <w:pPr>
        <w:numPr>
          <w:ilvl w:val="0"/>
          <w:numId w:val="1"/>
        </w:numPr>
        <w:ind w:left="720" w:hanging="360"/>
      </w:pPr>
      <w:r w:rsidDel="00000000" w:rsidR="00000000" w:rsidRPr="00000000">
        <w:rPr>
          <w:rtl w:val="0"/>
        </w:rPr>
        <w:t xml:space="preserve">Evie Jeffrey: </w:t>
      </w:r>
    </w:p>
    <w:p w:rsidR="00000000" w:rsidDel="00000000" w:rsidP="00000000" w:rsidRDefault="00000000" w:rsidRPr="00000000" w14:paraId="0000001E">
      <w:pPr>
        <w:numPr>
          <w:ilvl w:val="1"/>
          <w:numId w:val="1"/>
        </w:numPr>
        <w:ind w:left="1440" w:hanging="360"/>
      </w:pPr>
      <w:r w:rsidDel="00000000" w:rsidR="00000000" w:rsidRPr="00000000">
        <w:rPr>
          <w:rtl w:val="0"/>
        </w:rPr>
        <w:t xml:space="preserve">Evie Jeffrey is the postgraduate assistant for the project and started working on the project as a Robinson Bequest Bursary-holder.</w:t>
      </w:r>
    </w:p>
    <w:p w:rsidR="00000000" w:rsidDel="00000000" w:rsidP="00000000" w:rsidRDefault="00000000" w:rsidRPr="00000000" w14:paraId="0000001F">
      <w:pPr>
        <w:rPr/>
      </w:pPr>
      <w:r w:rsidDel="00000000" w:rsidR="00000000" w:rsidRPr="00000000">
        <w:rPr>
          <w:rtl w:val="0"/>
        </w:rPr>
      </w:r>
    </w:p>
    <w:sectPr>
      <w:pgSz w:h="16838" w:w="11906" w:orient="portrait"/>
      <w:pgMar w:bottom="850.3937007874016" w:top="850.3937007874016" w:left="1133.8582677165355"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v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ora" w:cs="Lora" w:eastAsia="Lora" w:hAnsi="Lora"/>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rFonts w:ascii="Arvo" w:cs="Arvo" w:eastAsia="Arvo" w:hAnsi="Arvo"/>
      <w:sz w:val="40"/>
      <w:szCs w:val="40"/>
    </w:rPr>
  </w:style>
  <w:style w:type="paragraph" w:styleId="Heading2">
    <w:name w:val="heading 2"/>
    <w:basedOn w:val="Normal"/>
    <w:next w:val="Normal"/>
    <w:pPr>
      <w:keepNext w:val="1"/>
      <w:keepLines w:val="1"/>
      <w:pageBreakBefore w:val="0"/>
      <w:spacing w:after="120" w:before="360" w:lineRule="auto"/>
    </w:pPr>
    <w:rPr>
      <w:rFonts w:ascii="Arvo" w:cs="Arvo" w:eastAsia="Arvo" w:hAnsi="Arvo"/>
      <w:sz w:val="32"/>
      <w:szCs w:val="32"/>
    </w:rPr>
  </w:style>
  <w:style w:type="paragraph" w:styleId="Heading3">
    <w:name w:val="heading 3"/>
    <w:basedOn w:val="Normal"/>
    <w:next w:val="Normal"/>
    <w:pPr>
      <w:keepNext w:val="1"/>
      <w:keepLines w:val="1"/>
      <w:pageBreakBefore w:val="0"/>
      <w:spacing w:after="80" w:before="320" w:lineRule="auto"/>
    </w:pPr>
    <w:rPr>
      <w:rFonts w:ascii="Arvo" w:cs="Arvo" w:eastAsia="Arvo" w:hAnsi="Arvo"/>
      <w:color w:val="434343"/>
      <w:sz w:val="28"/>
      <w:szCs w:val="28"/>
    </w:rPr>
  </w:style>
  <w:style w:type="paragraph" w:styleId="Heading4">
    <w:name w:val="heading 4"/>
    <w:basedOn w:val="Normal"/>
    <w:next w:val="Normal"/>
    <w:pPr>
      <w:keepNext w:val="1"/>
      <w:keepLines w:val="1"/>
      <w:pageBreakBefore w:val="0"/>
      <w:spacing w:after="80" w:before="280" w:lineRule="auto"/>
    </w:pPr>
    <w:rPr>
      <w:rFonts w:ascii="Arvo" w:cs="Arvo" w:eastAsia="Arvo" w:hAnsi="Arvo"/>
      <w:color w:val="666666"/>
      <w:sz w:val="24"/>
      <w:szCs w:val="24"/>
    </w:rPr>
  </w:style>
  <w:style w:type="paragraph" w:styleId="Heading5">
    <w:name w:val="heading 5"/>
    <w:basedOn w:val="Normal"/>
    <w:next w:val="Normal"/>
    <w:pPr>
      <w:keepNext w:val="1"/>
      <w:keepLines w:val="1"/>
      <w:pageBreakBefore w:val="0"/>
      <w:spacing w:after="80" w:before="240" w:lineRule="auto"/>
    </w:pPr>
    <w:rPr>
      <w:rFonts w:ascii="Arvo" w:cs="Arvo" w:eastAsia="Arvo" w:hAnsi="Arvo"/>
      <w:color w:val="666666"/>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Arvo" w:cs="Arvo" w:eastAsia="Arvo" w:hAnsi="Arvo"/>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gertrudebell.ncl.ac.uk/" TargetMode="External"/><Relationship Id="rId7" Type="http://schemas.openxmlformats.org/officeDocument/2006/relationships/hyperlink" Target="http://reed.utoronto.c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vo-regular.ttf"/><Relationship Id="rId2" Type="http://schemas.openxmlformats.org/officeDocument/2006/relationships/font" Target="fonts/Arvo-bold.ttf"/><Relationship Id="rId3" Type="http://schemas.openxmlformats.org/officeDocument/2006/relationships/font" Target="fonts/Arvo-italic.ttf"/><Relationship Id="rId4" Type="http://schemas.openxmlformats.org/officeDocument/2006/relationships/font" Target="fonts/Arvo-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